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W w:type="auto" w:w="0"/>
              <w:tblLayout w:type="fixed"/>
            </w:tblPr>
            <w:tblGrid>
              <w:gridCol w:w="200"/>
              <w:gridCol w:w="8940"/>
            </w:tblGrid>
            <w:tr>
              <w:trPr/>
              <w:tc>
                <w:tcPr>
                  <w:tcW w:type="dxa" w:w="200"/>
                  <w:vAlign w:val="top"/>
                </w:tcPr>
                <w:p w14:paraId="04000000">
                  <w:pPr>
                    <w:spacing w:after="0" w:before="0"/>
                    <w:ind w:firstLine="0" w:left="0" w:right="0"/>
                  </w:pPr>
                </w:p>
              </w:tc>
              <w:tc>
                <w:tcPr>
                  <w:tcW w:type="dxa" w:w="8940"/>
                  <w:vAlign w:val="center"/>
                </w:tcPr>
                <w:p w14:paraId="05000000">
                  <w:pPr>
                    <w:spacing w:after="0" w:before="0"/>
                    <w:ind w:firstLine="0" w:left="0" w:right="0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ФАС России от 11.02.2026 N ГР/10525/26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>"О рассмотрении обращения"</w:t>
                  </w:r>
                  <w:r>
                    <w:rPr>
                      <w:rFonts w:ascii="Times New Roman" w:hAnsi="Times New Roman"/>
                      <w:sz w:val="28"/>
                    </w:rPr>
                    <w:br/>
                  </w:r>
                </w:p>
              </w:tc>
            </w:tr>
          </w:tbl>
          <w:p w14:paraId="06000000">
            <w:pPr>
              <w:widowControl w:val="1"/>
              <w:spacing w:after="0" w:before="168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 </w:t>
      </w:r>
    </w:p>
    <w:p w14:paraId="08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Даны разъяснения по вопросам применения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топлива моторного, включая автомобильный и авиационный бензин.</w:t>
      </w:r>
      <w:r>
        <w:rPr>
          <w:rFonts w:ascii="Times New Roman" w:hAnsi="Times New Roman"/>
          <w:sz w:val="28"/>
        </w:rPr>
        <w:t xml:space="preserve"> </w:t>
      </w:r>
    </w:p>
    <w:p w14:paraId="09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b w:val="0"/>
          <w:sz w:val="28"/>
        </w:rPr>
        <w:t>Сообщается, что включение в контракт условия о том, что действие контракта распространяется на правоотношения, возникшие ранее даты его заключения, противоречит положениям Закона N 44-ФЗ.</w:t>
      </w:r>
    </w:p>
    <w:p w14:paraId="0A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Также обращается внимание на то, что положениями Закона N 44-ФЗ установлены случаи изменения существенных условий контракта вследствие возникновения независящих от сторон обстоятельств.</w:t>
      </w: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1"/>
          <w:sz w:val="28"/>
        </w:rPr>
        <w:t xml:space="preserve">    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0D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0E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10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2026-02-18T06:13:56Z</dcterms:modified>
</cp:coreProperties>
</file>